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1D52">
      <w:r>
        <w:t>Regulation 31- Shareholding Pattern: December 2020</w:t>
      </w:r>
    </w:p>
    <w:p w:rsidR="002C1D52" w:rsidRDefault="002C1D52">
      <w:hyperlink r:id="rId4" w:history="1">
        <w:r w:rsidRPr="009843EB">
          <w:rPr>
            <w:rStyle w:val="Hyperlink"/>
          </w:rPr>
          <w:t>https://www.bseindia.com/corporates/shpSecurities.aspx?scripcd=511401&amp;qtrid=108.00</w:t>
        </w:r>
      </w:hyperlink>
      <w:r>
        <w:t xml:space="preserve"> </w:t>
      </w:r>
    </w:p>
    <w:sectPr w:rsidR="002C1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1D52"/>
    <w:rsid w:val="002C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D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seindia.com/corporates/shpSecurities.aspx?scripcd=511401&amp;qtrid=108.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mcl-accounts1</dc:creator>
  <cp:keywords/>
  <dc:description/>
  <cp:lastModifiedBy>mcl-accounts1</cp:lastModifiedBy>
  <cp:revision>2</cp:revision>
  <dcterms:created xsi:type="dcterms:W3CDTF">2021-02-16T08:30:00Z</dcterms:created>
  <dcterms:modified xsi:type="dcterms:W3CDTF">2021-02-16T08:31:00Z</dcterms:modified>
</cp:coreProperties>
</file>